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6B494" w14:textId="3A1F4770" w:rsidR="00ED3FE5" w:rsidRPr="004B7E17" w:rsidRDefault="007E294E" w:rsidP="00ED3FE5">
      <w:pPr>
        <w:widowControl w:val="0"/>
        <w:tabs>
          <w:tab w:val="right" w:pos="9639"/>
          <w:tab w:val="right" w:pos="13323"/>
        </w:tabs>
        <w:spacing w:after="0"/>
        <w:rPr>
          <w:rFonts w:ascii="Arial" w:hAnsi="Arial" w:cs="Arial"/>
          <w:b/>
          <w:noProof/>
          <w:sz w:val="24"/>
          <w:szCs w:val="24"/>
          <w:lang w:val="en-US" w:eastAsia="ja-JP"/>
        </w:rPr>
      </w:pPr>
      <w:r>
        <w:rPr>
          <w:b/>
          <w:noProof/>
          <w:sz w:val="24"/>
        </w:rPr>
        <w:t xml:space="preserve"> </w:t>
      </w:r>
      <w:r w:rsidR="00EE1F78">
        <w:rPr>
          <w:b/>
          <w:noProof/>
          <w:sz w:val="24"/>
        </w:rPr>
        <w:t>3GPP TSG-RAN4 Meeting #84</w:t>
      </w:r>
      <w:r w:rsidR="00ED3FE5" w:rsidRPr="004B7E17">
        <w:rPr>
          <w:rFonts w:ascii="Arial" w:hAnsi="Arial" w:cs="Arial"/>
          <w:b/>
          <w:noProof/>
          <w:sz w:val="24"/>
          <w:szCs w:val="24"/>
          <w:lang w:val="en-US"/>
        </w:rPr>
        <w:tab/>
      </w:r>
      <w:r w:rsidR="00722562">
        <w:rPr>
          <w:rFonts w:ascii="Arial" w:hAnsi="Arial" w:cs="Arial"/>
          <w:b/>
          <w:bCs/>
          <w:color w:val="808080"/>
          <w:sz w:val="26"/>
          <w:szCs w:val="26"/>
        </w:rPr>
        <w:t>R4-1707819</w:t>
      </w:r>
      <w:bookmarkStart w:id="0" w:name="_GoBack"/>
      <w:bookmarkEnd w:id="0"/>
    </w:p>
    <w:p w14:paraId="6BFA6396" w14:textId="77777777" w:rsidR="00EE1F78" w:rsidRDefault="00EE1F78" w:rsidP="00EE1F78">
      <w:pPr>
        <w:pStyle w:val="CRCoverPage"/>
        <w:outlineLvl w:val="0"/>
        <w:rPr>
          <w:b/>
          <w:noProof/>
          <w:sz w:val="24"/>
        </w:rPr>
      </w:pPr>
      <w:r>
        <w:rPr>
          <w:b/>
          <w:noProof/>
          <w:sz w:val="24"/>
        </w:rPr>
        <w:t>Berlin, DE, 21</w:t>
      </w:r>
      <w:r>
        <w:rPr>
          <w:b/>
          <w:noProof/>
          <w:sz w:val="24"/>
          <w:vertAlign w:val="superscript"/>
        </w:rPr>
        <w:t>st</w:t>
      </w:r>
      <w:r>
        <w:rPr>
          <w:b/>
          <w:noProof/>
          <w:sz w:val="24"/>
        </w:rPr>
        <w:t xml:space="preserve"> – 25</w:t>
      </w:r>
      <w:r w:rsidRPr="006905A5">
        <w:rPr>
          <w:b/>
          <w:noProof/>
          <w:sz w:val="24"/>
          <w:vertAlign w:val="superscript"/>
        </w:rPr>
        <w:t>th</w:t>
      </w:r>
      <w:r>
        <w:rPr>
          <w:b/>
          <w:noProof/>
          <w:sz w:val="24"/>
        </w:rPr>
        <w:t xml:space="preserve"> August 2017</w:t>
      </w:r>
    </w:p>
    <w:p w14:paraId="7FCB58D1" w14:textId="77777777" w:rsidR="00462F31" w:rsidRDefault="00462F31" w:rsidP="003C016E">
      <w:pPr>
        <w:pStyle w:val="Header"/>
        <w:rPr>
          <w:b w:val="0"/>
          <w:sz w:val="24"/>
        </w:rPr>
      </w:pPr>
    </w:p>
    <w:p w14:paraId="371B3659"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2A00C7E1" w14:textId="77777777"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73475">
        <w:rPr>
          <w:rFonts w:ascii="Arial" w:hAnsi="Arial"/>
          <w:sz w:val="24"/>
          <w:lang w:val="en-US"/>
        </w:rPr>
        <w:t xml:space="preserve">Effect of </w:t>
      </w:r>
      <w:r w:rsidR="00A44E5C">
        <w:rPr>
          <w:rFonts w:ascii="Arial" w:hAnsi="Arial"/>
          <w:sz w:val="24"/>
          <w:lang w:val="en-US"/>
        </w:rPr>
        <w:t xml:space="preserve">TDD </w:t>
      </w:r>
      <w:r w:rsidR="00973475">
        <w:rPr>
          <w:rFonts w:ascii="Arial" w:hAnsi="Arial"/>
          <w:sz w:val="24"/>
          <w:lang w:val="en-US"/>
        </w:rPr>
        <w:t>SRS switching on FDD DL in a TDD+FDD CA</w:t>
      </w:r>
    </w:p>
    <w:p w14:paraId="7B00CA84" w14:textId="77777777"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proofErr w:type="spellStart"/>
      <w:r w:rsidR="00ED3FE5">
        <w:rPr>
          <w:rFonts w:ascii="Arial" w:hAnsi="Arial"/>
          <w:sz w:val="24"/>
          <w:lang w:val="en-US"/>
        </w:rPr>
        <w:t>xxxx</w:t>
      </w:r>
      <w:proofErr w:type="spellEnd"/>
    </w:p>
    <w:p w14:paraId="68662A9A" w14:textId="77777777"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14:paraId="327D5181" w14:textId="77777777" w:rsidR="00ED7522" w:rsidRDefault="000E0602" w:rsidP="006866E3">
      <w:pPr>
        <w:pStyle w:val="Heading1"/>
        <w:tabs>
          <w:tab w:val="clear" w:pos="432"/>
          <w:tab w:val="num" w:pos="522"/>
        </w:tabs>
        <w:ind w:left="522" w:hanging="522"/>
        <w:rPr>
          <w:lang w:val="en-US"/>
        </w:rPr>
      </w:pPr>
      <w:r>
        <w:rPr>
          <w:lang w:val="en-US"/>
        </w:rPr>
        <w:t>Introduction</w:t>
      </w:r>
    </w:p>
    <w:p w14:paraId="0CAC8980" w14:textId="77777777" w:rsidR="00E12118" w:rsidRDefault="00250968" w:rsidP="00973475">
      <w:pPr>
        <w:rPr>
          <w:lang w:val="en-US"/>
        </w:rPr>
      </w:pPr>
      <w:r>
        <w:rPr>
          <w:lang w:val="en-US"/>
        </w:rPr>
        <w:t xml:space="preserve">In the case when UE is in CA with </w:t>
      </w:r>
      <w:r w:rsidR="00E12118">
        <w:rPr>
          <w:lang w:val="en-US"/>
        </w:rPr>
        <w:t xml:space="preserve">TDD and FDD, depending on the UE architecture, some </w:t>
      </w:r>
      <w:r w:rsidR="00CE3DBF">
        <w:rPr>
          <w:lang w:val="en-US"/>
        </w:rPr>
        <w:t xml:space="preserve">of the </w:t>
      </w:r>
      <w:r w:rsidR="00E12118">
        <w:rPr>
          <w:lang w:val="en-US"/>
        </w:rPr>
        <w:t>TDD and FDD bands could share some front-end components. So, when TDD Tx needs to switch antennas</w:t>
      </w:r>
      <w:r w:rsidR="00CE3DBF">
        <w:rPr>
          <w:lang w:val="en-US"/>
        </w:rPr>
        <w:t>, to support SRS switching,</w:t>
      </w:r>
      <w:r w:rsidR="00E12118">
        <w:rPr>
          <w:lang w:val="en-US"/>
        </w:rPr>
        <w:t xml:space="preserve"> it could cause a disturbance to FDD </w:t>
      </w:r>
      <w:r w:rsidR="00CE3DBF">
        <w:rPr>
          <w:lang w:val="en-US"/>
        </w:rPr>
        <w:t>Rx as the</w:t>
      </w:r>
      <w:r w:rsidR="00E12118">
        <w:rPr>
          <w:lang w:val="en-US"/>
        </w:rPr>
        <w:t xml:space="preserve"> switching is not </w:t>
      </w:r>
      <w:r w:rsidR="00CE3DBF">
        <w:rPr>
          <w:lang w:val="en-US"/>
        </w:rPr>
        <w:t xml:space="preserve">time </w:t>
      </w:r>
      <w:r w:rsidR="00E12118">
        <w:rPr>
          <w:lang w:val="en-US"/>
        </w:rPr>
        <w:t xml:space="preserve">aligned to a slot or a sub-frame boundary. </w:t>
      </w:r>
      <w:r w:rsidR="006D7E58">
        <w:rPr>
          <w:lang w:val="en-US"/>
        </w:rPr>
        <w:t>When the antennas switch, it could cause an abrupt phase</w:t>
      </w:r>
      <w:r w:rsidR="007B640D">
        <w:rPr>
          <w:lang w:val="en-US"/>
        </w:rPr>
        <w:t xml:space="preserve"> and/or amplitude</w:t>
      </w:r>
      <w:r w:rsidR="006D7E58">
        <w:rPr>
          <w:lang w:val="en-US"/>
        </w:rPr>
        <w:t xml:space="preserve"> jump based on the difference in the channel conditions between the two antennas. </w:t>
      </w:r>
      <w:r w:rsidR="00FA263A">
        <w:rPr>
          <w:lang w:val="en-US"/>
        </w:rPr>
        <w:t xml:space="preserve">This will result in </w:t>
      </w:r>
      <w:r w:rsidR="007B640D">
        <w:rPr>
          <w:lang w:val="en-US"/>
        </w:rPr>
        <w:t xml:space="preserve">increased </w:t>
      </w:r>
      <w:r w:rsidR="00FA263A">
        <w:rPr>
          <w:lang w:val="en-US"/>
        </w:rPr>
        <w:t>B</w:t>
      </w:r>
      <w:r w:rsidR="00D97DF7">
        <w:rPr>
          <w:lang w:val="en-US"/>
        </w:rPr>
        <w:t xml:space="preserve">LER in FDD RX and this paper lists the details of the problem and potential solutions. </w:t>
      </w:r>
    </w:p>
    <w:p w14:paraId="5223997D" w14:textId="77777777" w:rsidR="00C15C1A" w:rsidRPr="00F22934" w:rsidRDefault="00C15C1A" w:rsidP="00F22934">
      <w:pPr>
        <w:rPr>
          <w:lang w:val="en-US"/>
        </w:rPr>
      </w:pPr>
    </w:p>
    <w:p w14:paraId="3AC42DC5" w14:textId="77777777" w:rsidR="00C15C1A" w:rsidRDefault="006866E3" w:rsidP="00A67A30">
      <w:pPr>
        <w:pStyle w:val="Heading1"/>
        <w:rPr>
          <w:lang w:val="en-US"/>
        </w:rPr>
      </w:pPr>
      <w:r w:rsidRPr="00C15C1A">
        <w:rPr>
          <w:lang w:val="en-US"/>
        </w:rPr>
        <w:t>Discussion</w:t>
      </w:r>
    </w:p>
    <w:p w14:paraId="131CC4D9" w14:textId="77777777" w:rsidR="00D97DF7" w:rsidRDefault="00D97DF7" w:rsidP="00D97DF7">
      <w:pPr>
        <w:rPr>
          <w:lang w:val="en-US"/>
        </w:rPr>
      </w:pPr>
      <w:r>
        <w:rPr>
          <w:lang w:val="en-US"/>
        </w:rPr>
        <w:t xml:space="preserve">Figure [1], shows an example of a typical FE architecture of a UE designed to support CA between FDD and TDD. In the figure, the FDD duplexer and TDD filter are designed together as a combined filter which has a single output to the antenna port. </w:t>
      </w:r>
      <w:r w:rsidR="00605922">
        <w:rPr>
          <w:lang w:val="en-US"/>
        </w:rPr>
        <w:t>All</w:t>
      </w:r>
      <w:r>
        <w:rPr>
          <w:lang w:val="en-US"/>
        </w:rPr>
        <w:t xml:space="preserve"> the FE components</w:t>
      </w:r>
      <w:r w:rsidR="005F6235">
        <w:rPr>
          <w:lang w:val="en-US"/>
        </w:rPr>
        <w:t>, SW A in the figure below,</w:t>
      </w:r>
      <w:r>
        <w:rPr>
          <w:lang w:val="en-US"/>
        </w:rPr>
        <w:t xml:space="preserve"> after this filter are now shared between these TDD and FDD bands. </w:t>
      </w:r>
    </w:p>
    <w:p w14:paraId="51B869FC" w14:textId="77777777" w:rsidR="00D97DF7" w:rsidRDefault="009677AF" w:rsidP="00D97DF7">
      <w:pPr>
        <w:jc w:val="center"/>
        <w:rPr>
          <w:lang w:val="en-US"/>
        </w:rPr>
      </w:pPr>
      <w:r w:rsidRPr="009677AF">
        <w:rPr>
          <w:noProof/>
          <w:lang w:val="en-US"/>
        </w:rPr>
        <w:drawing>
          <wp:inline distT="0" distB="0" distL="0" distR="0" wp14:anchorId="594B0C93" wp14:editId="2F2E5346">
            <wp:extent cx="4883388" cy="319759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91324" cy="3202792"/>
                    </a:xfrm>
                    <a:prstGeom prst="rect">
                      <a:avLst/>
                    </a:prstGeom>
                    <a:noFill/>
                    <a:ln>
                      <a:noFill/>
                    </a:ln>
                  </pic:spPr>
                </pic:pic>
              </a:graphicData>
            </a:graphic>
          </wp:inline>
        </w:drawing>
      </w:r>
    </w:p>
    <w:p w14:paraId="2AC6C862" w14:textId="77777777" w:rsidR="00562575" w:rsidRDefault="00562575" w:rsidP="00562575">
      <w:pPr>
        <w:jc w:val="center"/>
        <w:rPr>
          <w:lang w:val="en-US"/>
        </w:rPr>
      </w:pPr>
      <w:r>
        <w:rPr>
          <w:lang w:val="en-US"/>
        </w:rPr>
        <w:t>Figure 1: Example FE architecture with FDD and TDD sharing some of the FE components</w:t>
      </w:r>
    </w:p>
    <w:p w14:paraId="2702174B" w14:textId="5A1D273D" w:rsidR="00D97DF7" w:rsidRDefault="00D97DF7" w:rsidP="00D97DF7">
      <w:pPr>
        <w:rPr>
          <w:lang w:val="en-US"/>
        </w:rPr>
      </w:pPr>
      <w:r>
        <w:rPr>
          <w:lang w:val="en-US"/>
        </w:rPr>
        <w:t xml:space="preserve">When TDD Tx is active, SRS switching across antenna ports can be scheduled. When Tx for TDD switches antennas, </w:t>
      </w:r>
      <w:r w:rsidR="005E1353">
        <w:rPr>
          <w:lang w:val="en-US"/>
        </w:rPr>
        <w:t>by changing the position of SW A in the above figure</w:t>
      </w:r>
      <w:r>
        <w:rPr>
          <w:lang w:val="en-US"/>
        </w:rPr>
        <w:t>, it cause</w:t>
      </w:r>
      <w:r w:rsidR="00673CC1">
        <w:rPr>
          <w:lang w:val="en-US"/>
        </w:rPr>
        <w:t>s</w:t>
      </w:r>
      <w:r>
        <w:rPr>
          <w:lang w:val="en-US"/>
        </w:rPr>
        <w:t xml:space="preserve"> antenna switching for FDD Rx</w:t>
      </w:r>
      <w:r w:rsidR="00140182">
        <w:rPr>
          <w:lang w:val="en-US"/>
        </w:rPr>
        <w:t xml:space="preserve"> as well</w:t>
      </w:r>
      <w:r>
        <w:rPr>
          <w:lang w:val="en-US"/>
        </w:rPr>
        <w:t xml:space="preserve">. Since SRS is the last symbol of a sub-frame and due </w:t>
      </w:r>
      <w:r w:rsidR="007B640D">
        <w:rPr>
          <w:lang w:val="en-US"/>
        </w:rPr>
        <w:t>to</w:t>
      </w:r>
      <w:r>
        <w:rPr>
          <w:lang w:val="en-US"/>
        </w:rPr>
        <w:t xml:space="preserve"> timing advance </w:t>
      </w:r>
      <w:r w:rsidR="007B640D">
        <w:rPr>
          <w:lang w:val="en-US"/>
        </w:rPr>
        <w:t>(i.e., the difference between TDD Tx and FDD Rx)</w:t>
      </w:r>
      <w:r>
        <w:rPr>
          <w:lang w:val="en-US"/>
        </w:rPr>
        <w:t xml:space="preserve">, the disturbance for FDD Rx can be </w:t>
      </w:r>
      <w:r w:rsidR="007B640D">
        <w:rPr>
          <w:lang w:val="en-US"/>
        </w:rPr>
        <w:t>quite large</w:t>
      </w:r>
      <w:r w:rsidR="00140182">
        <w:rPr>
          <w:lang w:val="en-US"/>
        </w:rPr>
        <w:t xml:space="preserve">. Figure [2] </w:t>
      </w:r>
      <w:r w:rsidR="00293C5B">
        <w:rPr>
          <w:lang w:val="en-US"/>
        </w:rPr>
        <w:t>illustrate</w:t>
      </w:r>
      <w:r w:rsidR="00EE5013">
        <w:rPr>
          <w:lang w:val="en-US"/>
        </w:rPr>
        <w:t>s</w:t>
      </w:r>
      <w:r w:rsidR="00293C5B">
        <w:rPr>
          <w:lang w:val="en-US"/>
        </w:rPr>
        <w:t xml:space="preserve"> the </w:t>
      </w:r>
      <w:r w:rsidR="008D1FE6">
        <w:rPr>
          <w:lang w:val="en-US"/>
        </w:rPr>
        <w:t>timing of</w:t>
      </w:r>
      <w:r w:rsidR="00293C5B">
        <w:rPr>
          <w:lang w:val="en-US"/>
        </w:rPr>
        <w:t xml:space="preserve"> phase change for some FDD Rx symbols due to TDD SRS antenna switching. </w:t>
      </w:r>
    </w:p>
    <w:p w14:paraId="16445ADC" w14:textId="77777777" w:rsidR="00605922" w:rsidRDefault="00605922" w:rsidP="00D97DF7">
      <w:pPr>
        <w:rPr>
          <w:lang w:val="en-US"/>
        </w:rPr>
      </w:pPr>
    </w:p>
    <w:p w14:paraId="575E6FC1" w14:textId="77777777" w:rsidR="00D244C6" w:rsidRDefault="00883861" w:rsidP="00D97DF7">
      <w:r w:rsidRPr="00883861">
        <w:rPr>
          <w:noProof/>
          <w:lang w:val="en-US"/>
        </w:rPr>
        <w:drawing>
          <wp:inline distT="0" distB="0" distL="0" distR="0" wp14:anchorId="1F3D5F2D" wp14:editId="10790469">
            <wp:extent cx="6115685" cy="1709948"/>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685" cy="1709948"/>
                    </a:xfrm>
                    <a:prstGeom prst="rect">
                      <a:avLst/>
                    </a:prstGeom>
                    <a:noFill/>
                    <a:ln>
                      <a:noFill/>
                    </a:ln>
                  </pic:spPr>
                </pic:pic>
              </a:graphicData>
            </a:graphic>
          </wp:inline>
        </w:drawing>
      </w:r>
    </w:p>
    <w:p w14:paraId="5CF2240A" w14:textId="77777777" w:rsidR="00D244C6" w:rsidRDefault="00D244C6" w:rsidP="00D244C6">
      <w:pPr>
        <w:jc w:val="center"/>
      </w:pPr>
      <w:r>
        <w:t xml:space="preserve">Figure 2: FDD Rx is </w:t>
      </w:r>
      <w:r w:rsidR="00883861">
        <w:t>lagging</w:t>
      </w:r>
      <w:r>
        <w:t xml:space="preserve"> TDD Tx</w:t>
      </w:r>
    </w:p>
    <w:p w14:paraId="505D872C" w14:textId="55E9211C" w:rsidR="00D244C6" w:rsidRPr="00973475" w:rsidRDefault="00D244C6" w:rsidP="00D97DF7">
      <w:pPr>
        <w:rPr>
          <w:lang w:val="en-US"/>
        </w:rPr>
      </w:pPr>
    </w:p>
    <w:p w14:paraId="33A0B660" w14:textId="77777777" w:rsidR="00D244C6" w:rsidRDefault="00D244C6" w:rsidP="00D244C6">
      <w:pPr>
        <w:jc w:val="center"/>
      </w:pPr>
    </w:p>
    <w:p w14:paraId="37815C83" w14:textId="77777777" w:rsidR="00D244C6" w:rsidRPr="00883861" w:rsidRDefault="009777A0" w:rsidP="00D244C6">
      <w:pPr>
        <w:rPr>
          <w:b/>
        </w:rPr>
      </w:pPr>
      <w:r w:rsidRPr="00883861">
        <w:rPr>
          <w:b/>
        </w:rPr>
        <w:t xml:space="preserve">Problem: </w:t>
      </w:r>
    </w:p>
    <w:p w14:paraId="78C6ED0C" w14:textId="1B8AE89C" w:rsidR="00254102" w:rsidRDefault="008F261D" w:rsidP="00D244C6">
      <w:r>
        <w:t>W</w:t>
      </w:r>
      <w:r w:rsidR="009777A0">
        <w:t>henever TDD Tx is active</w:t>
      </w:r>
      <w:r>
        <w:t xml:space="preserve"> on a UE in FDD+TDD CA</w:t>
      </w:r>
      <w:r w:rsidR="009777A0">
        <w:t>, and TDD SRS switching is executed, it causes abrupt phase</w:t>
      </w:r>
      <w:r w:rsidR="007B640D">
        <w:t xml:space="preserve"> and/or amplitude</w:t>
      </w:r>
      <w:r w:rsidR="009777A0">
        <w:t xml:space="preserve"> change</w:t>
      </w:r>
      <w:r w:rsidR="007B640D">
        <w:t>s</w:t>
      </w:r>
      <w:r w:rsidR="009777A0">
        <w:t xml:space="preserve"> on FDD Rx</w:t>
      </w:r>
      <w:r w:rsidR="00B600BC">
        <w:t xml:space="preserve"> (a glitch in FDD Rx)</w:t>
      </w:r>
      <w:r w:rsidR="009777A0">
        <w:t>.</w:t>
      </w:r>
      <w:r w:rsidR="00D9773F">
        <w:t xml:space="preserve"> It could happen in the middle of subframe as shown in figure [2].</w:t>
      </w:r>
      <w:r w:rsidR="009777A0">
        <w:t xml:space="preserve"> </w:t>
      </w:r>
      <w:r w:rsidR="004C7FA9">
        <w:t>The degree of phase</w:t>
      </w:r>
      <w:r w:rsidR="007B640D">
        <w:t xml:space="preserve"> and/or amplitude</w:t>
      </w:r>
      <w:r w:rsidR="004C7FA9">
        <w:t xml:space="preserve"> change is dependent on the delta in channel conditions between the two antennas. </w:t>
      </w:r>
      <w:r w:rsidR="000A406E">
        <w:t>This abrupt phase ch</w:t>
      </w:r>
      <w:r w:rsidR="004C7FA9">
        <w:t>ange can cause</w:t>
      </w:r>
      <w:r w:rsidR="00912B68">
        <w:t xml:space="preserve"> an increased</w:t>
      </w:r>
      <w:r w:rsidR="004C7FA9">
        <w:t xml:space="preserve"> BLER </w:t>
      </w:r>
      <w:r w:rsidR="00D923BE">
        <w:t xml:space="preserve">and hence throughput hit </w:t>
      </w:r>
      <w:r w:rsidR="004C7FA9">
        <w:t xml:space="preserve">on FDD Rx in the subframes colliding with TDD Tx SRS switching. </w:t>
      </w:r>
    </w:p>
    <w:p w14:paraId="228F7E1E" w14:textId="45BBF716" w:rsidR="00E62779" w:rsidRPr="00A9407F" w:rsidRDefault="00E62779" w:rsidP="00D244C6">
      <w:pPr>
        <w:rPr>
          <w:b/>
        </w:rPr>
      </w:pPr>
      <w:r w:rsidRPr="00A9407F">
        <w:rPr>
          <w:b/>
        </w:rPr>
        <w:t>Proposal</w:t>
      </w:r>
      <w:r w:rsidR="00DF0856">
        <w:rPr>
          <w:b/>
        </w:rPr>
        <w:t xml:space="preserve"> 1</w:t>
      </w:r>
      <w:r w:rsidRPr="00A9407F">
        <w:rPr>
          <w:b/>
        </w:rPr>
        <w:t xml:space="preserve">: </w:t>
      </w:r>
    </w:p>
    <w:p w14:paraId="75E60FD3" w14:textId="0A98355F" w:rsidR="00E62779" w:rsidRDefault="00655C1F" w:rsidP="00655C1F">
      <w:pPr>
        <w:pStyle w:val="ListParagraph"/>
        <w:numPr>
          <w:ilvl w:val="0"/>
          <w:numId w:val="22"/>
        </w:numPr>
      </w:pPr>
      <w:r w:rsidRPr="00D93BE9">
        <w:t xml:space="preserve">UE to report to eNB the list of FDD bands that could exhibit this issue with a given TDD band when TDD Tx </w:t>
      </w:r>
      <w:r w:rsidR="0070223D">
        <w:t>executes SRS switching</w:t>
      </w:r>
      <w:r w:rsidRPr="00D93BE9">
        <w:t xml:space="preserve">. </w:t>
      </w:r>
    </w:p>
    <w:p w14:paraId="4B9AE11E" w14:textId="5B700A2C" w:rsidR="00655C1F" w:rsidRDefault="007B640D" w:rsidP="00AC1DA9">
      <w:pPr>
        <w:pStyle w:val="ListParagraph"/>
        <w:numPr>
          <w:ilvl w:val="0"/>
          <w:numId w:val="22"/>
        </w:numPr>
      </w:pPr>
      <w:r>
        <w:t xml:space="preserve">With this information, the </w:t>
      </w:r>
      <w:r w:rsidR="00523BA5">
        <w:t xml:space="preserve">eNB could </w:t>
      </w:r>
      <w:r>
        <w:t>reduce</w:t>
      </w:r>
      <w:r w:rsidR="00523BA5">
        <w:t xml:space="preserve"> the degradation in performance </w:t>
      </w:r>
      <w:r w:rsidR="00AA2D6D">
        <w:t>as mentioned below (but not limiting to) with</w:t>
      </w:r>
      <w:r w:rsidR="00523BA5">
        <w:t xml:space="preserve"> proper </w:t>
      </w:r>
      <w:r w:rsidR="00655C1F">
        <w:t>schedul</w:t>
      </w:r>
      <w:r w:rsidR="00523BA5">
        <w:t>ing</w:t>
      </w:r>
      <w:r w:rsidR="00AA4EE8">
        <w:t xml:space="preserve"> of</w:t>
      </w:r>
      <w:r w:rsidR="005C4F86">
        <w:t>:</w:t>
      </w:r>
    </w:p>
    <w:p w14:paraId="6F3924FA" w14:textId="4FF2CF74" w:rsidR="007B640D" w:rsidRDefault="007B640D" w:rsidP="00AC1DA9">
      <w:pPr>
        <w:pStyle w:val="ListParagraph"/>
        <w:numPr>
          <w:ilvl w:val="1"/>
          <w:numId w:val="22"/>
        </w:numPr>
      </w:pPr>
      <w:r>
        <w:t>Avoid DL scheduling in the collision subframes.</w:t>
      </w:r>
    </w:p>
    <w:p w14:paraId="310D7187" w14:textId="38E033F4" w:rsidR="00BC009C" w:rsidRDefault="00BC009C" w:rsidP="00AC1DA9">
      <w:pPr>
        <w:pStyle w:val="ListParagraph"/>
        <w:numPr>
          <w:ilvl w:val="1"/>
          <w:numId w:val="22"/>
        </w:numPr>
      </w:pPr>
      <w:r>
        <w:t xml:space="preserve">Reduce the periodicity of SRS switching. </w:t>
      </w:r>
    </w:p>
    <w:p w14:paraId="7E4C8F71" w14:textId="77777777" w:rsidR="00655C1F" w:rsidRDefault="00AA4EE8" w:rsidP="00AC1DA9">
      <w:pPr>
        <w:pStyle w:val="ListParagraph"/>
        <w:numPr>
          <w:ilvl w:val="1"/>
          <w:numId w:val="22"/>
        </w:numPr>
      </w:pPr>
      <w:r>
        <w:t>Schedule a shorter TTI in the collision subframes</w:t>
      </w:r>
      <w:r w:rsidR="0004764B">
        <w:t xml:space="preserve"> for UEs that support sTTI</w:t>
      </w:r>
      <w:r w:rsidR="007B640D">
        <w:t>.</w:t>
      </w:r>
    </w:p>
    <w:p w14:paraId="5A27CF5F" w14:textId="310D4ED0" w:rsidR="00AA4EE8" w:rsidRDefault="00245139" w:rsidP="00AC1DA9">
      <w:pPr>
        <w:pStyle w:val="ListParagraph"/>
        <w:numPr>
          <w:ilvl w:val="1"/>
          <w:numId w:val="22"/>
        </w:numPr>
      </w:pPr>
      <w:r>
        <w:t xml:space="preserve">Schedule a modulation scheme or data pattern that is more robust to loosing those symbols. </w:t>
      </w:r>
    </w:p>
    <w:p w14:paraId="212955F4" w14:textId="682D57D7" w:rsidR="00AC1DA9" w:rsidRDefault="000C4E0D" w:rsidP="00ED6ED1">
      <w:pPr>
        <w:pStyle w:val="ListParagraph"/>
        <w:numPr>
          <w:ilvl w:val="0"/>
          <w:numId w:val="22"/>
        </w:numPr>
        <w:rPr>
          <w:lang w:val="en-US"/>
        </w:rPr>
      </w:pPr>
      <w:r>
        <w:t xml:space="preserve">UE performance to be </w:t>
      </w:r>
      <w:r w:rsidR="00484A30">
        <w:t xml:space="preserve">met </w:t>
      </w:r>
      <w:r w:rsidR="00304194">
        <w:t>only in</w:t>
      </w:r>
      <w:r>
        <w:t xml:space="preserve"> the </w:t>
      </w:r>
      <w:r w:rsidR="00905C40">
        <w:t>FDD Rx TTIs</w:t>
      </w:r>
      <w:r>
        <w:t xml:space="preserve"> with</w:t>
      </w:r>
      <w:r w:rsidR="00304194">
        <w:t>out</w:t>
      </w:r>
      <w:r>
        <w:t xml:space="preserve"> this glitch. </w:t>
      </w:r>
    </w:p>
    <w:p w14:paraId="44F6EDBE" w14:textId="7817988A" w:rsidR="00AC1DA9" w:rsidRPr="00D27B60" w:rsidRDefault="00AC1DA9" w:rsidP="00ED3FE5">
      <w:pPr>
        <w:rPr>
          <w:b/>
          <w:lang w:val="en-US"/>
        </w:rPr>
      </w:pPr>
      <w:r w:rsidRPr="00D27B60">
        <w:rPr>
          <w:b/>
          <w:lang w:val="en-US"/>
        </w:rPr>
        <w:t xml:space="preserve">Proposal 2: </w:t>
      </w:r>
    </w:p>
    <w:p w14:paraId="3C43E716" w14:textId="2BCD1243" w:rsidR="00AC1DA9" w:rsidRDefault="00AC1DA9" w:rsidP="00D27B60">
      <w:pPr>
        <w:ind w:firstLine="284"/>
        <w:rPr>
          <w:lang w:val="en-US"/>
        </w:rPr>
      </w:pPr>
      <w:r>
        <w:rPr>
          <w:lang w:val="en-US"/>
        </w:rPr>
        <w:t xml:space="preserve">RAN4 to send an LS to RAN2/RAN1 </w:t>
      </w:r>
      <w:r w:rsidR="00D27B60">
        <w:rPr>
          <w:lang w:val="en-US"/>
        </w:rPr>
        <w:t xml:space="preserve">to suggest the above proposal. </w:t>
      </w:r>
    </w:p>
    <w:p w14:paraId="1760D256" w14:textId="1188AD8A" w:rsidR="002619C7" w:rsidRDefault="00BF6880" w:rsidP="00F22934">
      <w:pPr>
        <w:pStyle w:val="Heading1"/>
      </w:pPr>
      <w:r>
        <w:t>C</w:t>
      </w:r>
      <w:r w:rsidR="00C762BF">
        <w:t>onclusion</w:t>
      </w:r>
    </w:p>
    <w:p w14:paraId="7871E5A9" w14:textId="2E8FBD0E" w:rsidR="003F67D1" w:rsidRDefault="00711391" w:rsidP="00372DA4">
      <w:r>
        <w:t>In this paper, a problem for</w:t>
      </w:r>
      <w:r w:rsidR="00A05781">
        <w:t xml:space="preserve"> FDD DL has been identified when</w:t>
      </w:r>
      <w:r>
        <w:t xml:space="preserve"> a UE executes SRS switching for TDD bands while it’s in CA with </w:t>
      </w:r>
      <w:r w:rsidR="008A45AC">
        <w:t xml:space="preserve">some </w:t>
      </w:r>
      <w:r>
        <w:t xml:space="preserve">FDD bands. </w:t>
      </w:r>
      <w:r w:rsidR="00474150">
        <w:t xml:space="preserve">A proposal to address the issue has been mentioned above </w:t>
      </w:r>
      <w:r w:rsidR="009005C5">
        <w:t xml:space="preserve">along with ways to further improve performance with appropriate eNB scheduling. </w:t>
      </w:r>
    </w:p>
    <w:p w14:paraId="29952221" w14:textId="223D025D" w:rsidR="00D62CD8" w:rsidRPr="00BF4B69" w:rsidRDefault="00D62CD8" w:rsidP="004A1807">
      <w:pPr>
        <w:pStyle w:val="NoSpacing"/>
      </w:pPr>
    </w:p>
    <w:sectPr w:rsidR="00D62CD8" w:rsidRPr="00BF4B69"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804B7" w14:textId="77777777" w:rsidR="00EE6B63" w:rsidRDefault="00EE6B63">
      <w:r>
        <w:separator/>
      </w:r>
    </w:p>
  </w:endnote>
  <w:endnote w:type="continuationSeparator" w:id="0">
    <w:p w14:paraId="2F37D8EA" w14:textId="77777777" w:rsidR="00EE6B63" w:rsidRDefault="00EE6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896D5" w14:textId="77777777"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E2F6E4E" w14:textId="77777777"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642B7" w14:textId="0DAA0E4F"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22562">
      <w:rPr>
        <w:rStyle w:val="PageNumber"/>
      </w:rPr>
      <w:t>2</w:t>
    </w:r>
    <w:r>
      <w:rPr>
        <w:rStyle w:val="PageNumber"/>
      </w:rPr>
      <w:fldChar w:fldCharType="end"/>
    </w:r>
  </w:p>
  <w:p w14:paraId="55BA4411" w14:textId="77777777"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CA053" w14:textId="77777777" w:rsidR="00EE6B63" w:rsidRDefault="00EE6B63">
      <w:r>
        <w:separator/>
      </w:r>
    </w:p>
  </w:footnote>
  <w:footnote w:type="continuationSeparator" w:id="0">
    <w:p w14:paraId="63E0D406" w14:textId="77777777" w:rsidR="00EE6B63" w:rsidRDefault="00EE6B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095942"/>
    <w:multiLevelType w:val="hybridMultilevel"/>
    <w:tmpl w:val="4C4C71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236B93"/>
    <w:multiLevelType w:val="hybridMultilevel"/>
    <w:tmpl w:val="582642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5"/>
  </w:num>
  <w:num w:numId="3">
    <w:abstractNumId w:val="17"/>
  </w:num>
  <w:num w:numId="4">
    <w:abstractNumId w:val="19"/>
  </w:num>
  <w:num w:numId="5">
    <w:abstractNumId w:val="12"/>
  </w:num>
  <w:num w:numId="6">
    <w:abstractNumId w:val="7"/>
  </w:num>
  <w:num w:numId="7">
    <w:abstractNumId w:val="1"/>
  </w:num>
  <w:num w:numId="8">
    <w:abstractNumId w:val="16"/>
  </w:num>
  <w:num w:numId="9">
    <w:abstractNumId w:val="8"/>
  </w:num>
  <w:num w:numId="10">
    <w:abstractNumId w:val="11"/>
  </w:num>
  <w:num w:numId="11">
    <w:abstractNumId w:val="20"/>
  </w:num>
  <w:num w:numId="12">
    <w:abstractNumId w:val="18"/>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5"/>
  </w:num>
  <w:num w:numId="15">
    <w:abstractNumId w:val="3"/>
  </w:num>
  <w:num w:numId="16">
    <w:abstractNumId w:val="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6"/>
  </w:num>
  <w:num w:numId="19">
    <w:abstractNumId w:val="9"/>
  </w:num>
  <w:num w:numId="20">
    <w:abstractNumId w:val="13"/>
  </w:num>
  <w:num w:numId="21">
    <w:abstractNumId w:val="14"/>
  </w:num>
  <w:num w:numId="2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384"/>
    <w:rsid w:val="0003668C"/>
    <w:rsid w:val="00036F82"/>
    <w:rsid w:val="000378CF"/>
    <w:rsid w:val="0003794F"/>
    <w:rsid w:val="00037F8C"/>
    <w:rsid w:val="00040DD3"/>
    <w:rsid w:val="000420FB"/>
    <w:rsid w:val="00043184"/>
    <w:rsid w:val="00043D07"/>
    <w:rsid w:val="000446FD"/>
    <w:rsid w:val="0004511D"/>
    <w:rsid w:val="00045318"/>
    <w:rsid w:val="00045774"/>
    <w:rsid w:val="00046743"/>
    <w:rsid w:val="0004764B"/>
    <w:rsid w:val="0004795F"/>
    <w:rsid w:val="00047A40"/>
    <w:rsid w:val="00047BD8"/>
    <w:rsid w:val="00051030"/>
    <w:rsid w:val="00051D36"/>
    <w:rsid w:val="00053E42"/>
    <w:rsid w:val="0005400D"/>
    <w:rsid w:val="000549BA"/>
    <w:rsid w:val="000550EF"/>
    <w:rsid w:val="0005520E"/>
    <w:rsid w:val="00055B21"/>
    <w:rsid w:val="000562FA"/>
    <w:rsid w:val="000601B0"/>
    <w:rsid w:val="00062B7F"/>
    <w:rsid w:val="00062E5A"/>
    <w:rsid w:val="00062F52"/>
    <w:rsid w:val="00063999"/>
    <w:rsid w:val="0006427B"/>
    <w:rsid w:val="000642D1"/>
    <w:rsid w:val="0006440F"/>
    <w:rsid w:val="00064A80"/>
    <w:rsid w:val="00066EEB"/>
    <w:rsid w:val="00066F4C"/>
    <w:rsid w:val="0006778A"/>
    <w:rsid w:val="0007009D"/>
    <w:rsid w:val="00070561"/>
    <w:rsid w:val="00070ECC"/>
    <w:rsid w:val="00070F4C"/>
    <w:rsid w:val="000724BF"/>
    <w:rsid w:val="000737DA"/>
    <w:rsid w:val="000753CE"/>
    <w:rsid w:val="0007555F"/>
    <w:rsid w:val="00076DB9"/>
    <w:rsid w:val="00077FE0"/>
    <w:rsid w:val="00081B6C"/>
    <w:rsid w:val="000825A0"/>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326"/>
    <w:rsid w:val="000A1A26"/>
    <w:rsid w:val="000A2153"/>
    <w:rsid w:val="000A2A53"/>
    <w:rsid w:val="000A2D07"/>
    <w:rsid w:val="000A31E0"/>
    <w:rsid w:val="000A3A69"/>
    <w:rsid w:val="000A3BD7"/>
    <w:rsid w:val="000A406E"/>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4E0D"/>
    <w:rsid w:val="000C5396"/>
    <w:rsid w:val="000C58B5"/>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2320"/>
    <w:rsid w:val="00102563"/>
    <w:rsid w:val="00103CC7"/>
    <w:rsid w:val="00104258"/>
    <w:rsid w:val="00104417"/>
    <w:rsid w:val="00104B7E"/>
    <w:rsid w:val="00106117"/>
    <w:rsid w:val="00106E80"/>
    <w:rsid w:val="001072D7"/>
    <w:rsid w:val="00107B29"/>
    <w:rsid w:val="00112756"/>
    <w:rsid w:val="00112A1A"/>
    <w:rsid w:val="001135F5"/>
    <w:rsid w:val="00113626"/>
    <w:rsid w:val="00113700"/>
    <w:rsid w:val="0011401A"/>
    <w:rsid w:val="00115243"/>
    <w:rsid w:val="00115E1D"/>
    <w:rsid w:val="00116046"/>
    <w:rsid w:val="001169B3"/>
    <w:rsid w:val="00116F74"/>
    <w:rsid w:val="001176B7"/>
    <w:rsid w:val="00117E8D"/>
    <w:rsid w:val="001200CB"/>
    <w:rsid w:val="00122239"/>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182"/>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760F"/>
    <w:rsid w:val="001600D4"/>
    <w:rsid w:val="0016046E"/>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774"/>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744"/>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139"/>
    <w:rsid w:val="00245579"/>
    <w:rsid w:val="002461C3"/>
    <w:rsid w:val="0024788C"/>
    <w:rsid w:val="00250968"/>
    <w:rsid w:val="00251B67"/>
    <w:rsid w:val="00252058"/>
    <w:rsid w:val="00252C9A"/>
    <w:rsid w:val="00254102"/>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FB2"/>
    <w:rsid w:val="0029190C"/>
    <w:rsid w:val="002921C4"/>
    <w:rsid w:val="002932EC"/>
    <w:rsid w:val="00293C5B"/>
    <w:rsid w:val="002942C7"/>
    <w:rsid w:val="0029528C"/>
    <w:rsid w:val="00296186"/>
    <w:rsid w:val="00296A58"/>
    <w:rsid w:val="00296B7E"/>
    <w:rsid w:val="00296D47"/>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7B2B"/>
    <w:rsid w:val="002C7C8C"/>
    <w:rsid w:val="002D087B"/>
    <w:rsid w:val="002D0BCE"/>
    <w:rsid w:val="002D0C99"/>
    <w:rsid w:val="002D10C9"/>
    <w:rsid w:val="002D175B"/>
    <w:rsid w:val="002D2365"/>
    <w:rsid w:val="002D282D"/>
    <w:rsid w:val="002D4919"/>
    <w:rsid w:val="002D499F"/>
    <w:rsid w:val="002D4A80"/>
    <w:rsid w:val="002D5209"/>
    <w:rsid w:val="002D5562"/>
    <w:rsid w:val="002D5832"/>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194"/>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A"/>
    <w:rsid w:val="0032202F"/>
    <w:rsid w:val="00322EBD"/>
    <w:rsid w:val="003230D2"/>
    <w:rsid w:val="00323460"/>
    <w:rsid w:val="00323F04"/>
    <w:rsid w:val="00324937"/>
    <w:rsid w:val="00325C68"/>
    <w:rsid w:val="00325D20"/>
    <w:rsid w:val="00326129"/>
    <w:rsid w:val="003267B9"/>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67FA2"/>
    <w:rsid w:val="00370CDE"/>
    <w:rsid w:val="003710AC"/>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CF7"/>
    <w:rsid w:val="00392F02"/>
    <w:rsid w:val="00393306"/>
    <w:rsid w:val="003934B7"/>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7AF"/>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1C9"/>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4150"/>
    <w:rsid w:val="00474729"/>
    <w:rsid w:val="00474A9F"/>
    <w:rsid w:val="00475ACA"/>
    <w:rsid w:val="00476B1E"/>
    <w:rsid w:val="00477349"/>
    <w:rsid w:val="00477AFF"/>
    <w:rsid w:val="00480894"/>
    <w:rsid w:val="004813A4"/>
    <w:rsid w:val="00481968"/>
    <w:rsid w:val="00482540"/>
    <w:rsid w:val="00482724"/>
    <w:rsid w:val="00482B06"/>
    <w:rsid w:val="0048385F"/>
    <w:rsid w:val="00483CF6"/>
    <w:rsid w:val="0048493E"/>
    <w:rsid w:val="0048495E"/>
    <w:rsid w:val="00484A30"/>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07"/>
    <w:rsid w:val="004A187C"/>
    <w:rsid w:val="004A204A"/>
    <w:rsid w:val="004A38DE"/>
    <w:rsid w:val="004A454B"/>
    <w:rsid w:val="004A6064"/>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6A32"/>
    <w:rsid w:val="004C72C7"/>
    <w:rsid w:val="004C7862"/>
    <w:rsid w:val="004C7A22"/>
    <w:rsid w:val="004C7FA9"/>
    <w:rsid w:val="004D0378"/>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272"/>
    <w:rsid w:val="00512F02"/>
    <w:rsid w:val="005148FF"/>
    <w:rsid w:val="005167E8"/>
    <w:rsid w:val="00517507"/>
    <w:rsid w:val="00520C3C"/>
    <w:rsid w:val="00521297"/>
    <w:rsid w:val="00522CA1"/>
    <w:rsid w:val="00523BA5"/>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509D"/>
    <w:rsid w:val="00535E13"/>
    <w:rsid w:val="0053650A"/>
    <w:rsid w:val="00536833"/>
    <w:rsid w:val="00537F2E"/>
    <w:rsid w:val="0054008E"/>
    <w:rsid w:val="00540AD9"/>
    <w:rsid w:val="00543144"/>
    <w:rsid w:val="00543E5A"/>
    <w:rsid w:val="00544F7A"/>
    <w:rsid w:val="00545421"/>
    <w:rsid w:val="00547B0A"/>
    <w:rsid w:val="00550CA9"/>
    <w:rsid w:val="00551763"/>
    <w:rsid w:val="00551FCA"/>
    <w:rsid w:val="00553913"/>
    <w:rsid w:val="00554B68"/>
    <w:rsid w:val="00554F48"/>
    <w:rsid w:val="00554F7D"/>
    <w:rsid w:val="005562B4"/>
    <w:rsid w:val="005567C9"/>
    <w:rsid w:val="005576F7"/>
    <w:rsid w:val="0056027A"/>
    <w:rsid w:val="00560716"/>
    <w:rsid w:val="005607A9"/>
    <w:rsid w:val="00561361"/>
    <w:rsid w:val="0056188B"/>
    <w:rsid w:val="00562575"/>
    <w:rsid w:val="00562C3D"/>
    <w:rsid w:val="00563F76"/>
    <w:rsid w:val="0056440D"/>
    <w:rsid w:val="005648D7"/>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4F86"/>
    <w:rsid w:val="005C5470"/>
    <w:rsid w:val="005C5F4D"/>
    <w:rsid w:val="005C6EA5"/>
    <w:rsid w:val="005D01D9"/>
    <w:rsid w:val="005D0D35"/>
    <w:rsid w:val="005D0F42"/>
    <w:rsid w:val="005D12F9"/>
    <w:rsid w:val="005D1853"/>
    <w:rsid w:val="005D1A0F"/>
    <w:rsid w:val="005D2787"/>
    <w:rsid w:val="005D3511"/>
    <w:rsid w:val="005D717C"/>
    <w:rsid w:val="005D7204"/>
    <w:rsid w:val="005D7C23"/>
    <w:rsid w:val="005D7E7B"/>
    <w:rsid w:val="005E02FB"/>
    <w:rsid w:val="005E05A6"/>
    <w:rsid w:val="005E1353"/>
    <w:rsid w:val="005E19B4"/>
    <w:rsid w:val="005E1EE7"/>
    <w:rsid w:val="005E2BEB"/>
    <w:rsid w:val="005E3C68"/>
    <w:rsid w:val="005E4099"/>
    <w:rsid w:val="005E534E"/>
    <w:rsid w:val="005E597B"/>
    <w:rsid w:val="005E59A8"/>
    <w:rsid w:val="005E5CBA"/>
    <w:rsid w:val="005E684F"/>
    <w:rsid w:val="005E6BCB"/>
    <w:rsid w:val="005E72FE"/>
    <w:rsid w:val="005E7A84"/>
    <w:rsid w:val="005E7DAF"/>
    <w:rsid w:val="005E7E5C"/>
    <w:rsid w:val="005F0059"/>
    <w:rsid w:val="005F03E6"/>
    <w:rsid w:val="005F0BB8"/>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6235"/>
    <w:rsid w:val="005F76A4"/>
    <w:rsid w:val="005F7971"/>
    <w:rsid w:val="00600EAD"/>
    <w:rsid w:val="00602A62"/>
    <w:rsid w:val="00603617"/>
    <w:rsid w:val="0060381F"/>
    <w:rsid w:val="006046B6"/>
    <w:rsid w:val="006049FD"/>
    <w:rsid w:val="00605922"/>
    <w:rsid w:val="006059EE"/>
    <w:rsid w:val="00606AE4"/>
    <w:rsid w:val="00607638"/>
    <w:rsid w:val="00607AD8"/>
    <w:rsid w:val="006102C5"/>
    <w:rsid w:val="0061093F"/>
    <w:rsid w:val="00610E2B"/>
    <w:rsid w:val="00611E72"/>
    <w:rsid w:val="00612119"/>
    <w:rsid w:val="006123A2"/>
    <w:rsid w:val="0061305B"/>
    <w:rsid w:val="00613713"/>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C1F"/>
    <w:rsid w:val="00655E22"/>
    <w:rsid w:val="00656812"/>
    <w:rsid w:val="0065711D"/>
    <w:rsid w:val="0065744C"/>
    <w:rsid w:val="006606E2"/>
    <w:rsid w:val="0066336E"/>
    <w:rsid w:val="006638C2"/>
    <w:rsid w:val="00663C05"/>
    <w:rsid w:val="00664E8B"/>
    <w:rsid w:val="00665702"/>
    <w:rsid w:val="006677A5"/>
    <w:rsid w:val="00667EAC"/>
    <w:rsid w:val="006713F8"/>
    <w:rsid w:val="0067184D"/>
    <w:rsid w:val="0067240C"/>
    <w:rsid w:val="006724D8"/>
    <w:rsid w:val="0067269C"/>
    <w:rsid w:val="006731A0"/>
    <w:rsid w:val="00673CC1"/>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02A"/>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D7E58"/>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23D"/>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91"/>
    <w:rsid w:val="007113BE"/>
    <w:rsid w:val="0071157E"/>
    <w:rsid w:val="00711F11"/>
    <w:rsid w:val="00711FCE"/>
    <w:rsid w:val="00712107"/>
    <w:rsid w:val="00712B56"/>
    <w:rsid w:val="00712B7E"/>
    <w:rsid w:val="00712CBA"/>
    <w:rsid w:val="00713DCE"/>
    <w:rsid w:val="00715F13"/>
    <w:rsid w:val="00716001"/>
    <w:rsid w:val="00717421"/>
    <w:rsid w:val="00717AAF"/>
    <w:rsid w:val="00721399"/>
    <w:rsid w:val="0072166E"/>
    <w:rsid w:val="00721679"/>
    <w:rsid w:val="00721D85"/>
    <w:rsid w:val="00722562"/>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04C5"/>
    <w:rsid w:val="00731C7D"/>
    <w:rsid w:val="00731D02"/>
    <w:rsid w:val="00732763"/>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1D10"/>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2787"/>
    <w:rsid w:val="0078317A"/>
    <w:rsid w:val="007833C3"/>
    <w:rsid w:val="007846F4"/>
    <w:rsid w:val="007850F8"/>
    <w:rsid w:val="00785352"/>
    <w:rsid w:val="00786A8F"/>
    <w:rsid w:val="007902F8"/>
    <w:rsid w:val="00790FEC"/>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B640D"/>
    <w:rsid w:val="007C01B6"/>
    <w:rsid w:val="007C1173"/>
    <w:rsid w:val="007C118E"/>
    <w:rsid w:val="007C18C2"/>
    <w:rsid w:val="007C2576"/>
    <w:rsid w:val="007C259A"/>
    <w:rsid w:val="007C2EFF"/>
    <w:rsid w:val="007C3016"/>
    <w:rsid w:val="007C4E56"/>
    <w:rsid w:val="007C52AF"/>
    <w:rsid w:val="007C54FC"/>
    <w:rsid w:val="007C599A"/>
    <w:rsid w:val="007C5A4E"/>
    <w:rsid w:val="007C5ADC"/>
    <w:rsid w:val="007C6D0C"/>
    <w:rsid w:val="007C6E00"/>
    <w:rsid w:val="007C72A8"/>
    <w:rsid w:val="007D0151"/>
    <w:rsid w:val="007D131B"/>
    <w:rsid w:val="007D1ABE"/>
    <w:rsid w:val="007D2289"/>
    <w:rsid w:val="007D2899"/>
    <w:rsid w:val="007D42D1"/>
    <w:rsid w:val="007D47CD"/>
    <w:rsid w:val="007D6CE6"/>
    <w:rsid w:val="007E1193"/>
    <w:rsid w:val="007E1275"/>
    <w:rsid w:val="007E211F"/>
    <w:rsid w:val="007E2178"/>
    <w:rsid w:val="007E25DA"/>
    <w:rsid w:val="007E294E"/>
    <w:rsid w:val="007E32D9"/>
    <w:rsid w:val="007E3565"/>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9D"/>
    <w:rsid w:val="008238B8"/>
    <w:rsid w:val="0082429F"/>
    <w:rsid w:val="0082472F"/>
    <w:rsid w:val="00824D2A"/>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19E1"/>
    <w:rsid w:val="00852681"/>
    <w:rsid w:val="00852AE7"/>
    <w:rsid w:val="00852E67"/>
    <w:rsid w:val="008538D0"/>
    <w:rsid w:val="00853B27"/>
    <w:rsid w:val="0085400A"/>
    <w:rsid w:val="0085443D"/>
    <w:rsid w:val="008562A0"/>
    <w:rsid w:val="00856531"/>
    <w:rsid w:val="0085660A"/>
    <w:rsid w:val="00856FF7"/>
    <w:rsid w:val="0085743F"/>
    <w:rsid w:val="0085775F"/>
    <w:rsid w:val="00857AA3"/>
    <w:rsid w:val="00857D43"/>
    <w:rsid w:val="00861728"/>
    <w:rsid w:val="00861DD3"/>
    <w:rsid w:val="00862075"/>
    <w:rsid w:val="008632C0"/>
    <w:rsid w:val="00865A8B"/>
    <w:rsid w:val="00865B97"/>
    <w:rsid w:val="008672A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D0A"/>
    <w:rsid w:val="00882400"/>
    <w:rsid w:val="008824BC"/>
    <w:rsid w:val="00882E2E"/>
    <w:rsid w:val="00883201"/>
    <w:rsid w:val="0088386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7F"/>
    <w:rsid w:val="0089466D"/>
    <w:rsid w:val="008951A8"/>
    <w:rsid w:val="00895FAE"/>
    <w:rsid w:val="008968D7"/>
    <w:rsid w:val="00896DB2"/>
    <w:rsid w:val="00896EB8"/>
    <w:rsid w:val="008A0E21"/>
    <w:rsid w:val="008A0EE4"/>
    <w:rsid w:val="008A1090"/>
    <w:rsid w:val="008A1BD9"/>
    <w:rsid w:val="008A1EB8"/>
    <w:rsid w:val="008A2168"/>
    <w:rsid w:val="008A2610"/>
    <w:rsid w:val="008A2701"/>
    <w:rsid w:val="008A452A"/>
    <w:rsid w:val="008A45AC"/>
    <w:rsid w:val="008A4C71"/>
    <w:rsid w:val="008A54B9"/>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1FE6"/>
    <w:rsid w:val="008D207A"/>
    <w:rsid w:val="008D23C6"/>
    <w:rsid w:val="008D3567"/>
    <w:rsid w:val="008D3952"/>
    <w:rsid w:val="008D3AAB"/>
    <w:rsid w:val="008D3F73"/>
    <w:rsid w:val="008D59F7"/>
    <w:rsid w:val="008D5A2D"/>
    <w:rsid w:val="008D7109"/>
    <w:rsid w:val="008E0739"/>
    <w:rsid w:val="008E1130"/>
    <w:rsid w:val="008E2080"/>
    <w:rsid w:val="008E25C7"/>
    <w:rsid w:val="008E2C29"/>
    <w:rsid w:val="008E3533"/>
    <w:rsid w:val="008E44C5"/>
    <w:rsid w:val="008E5C4F"/>
    <w:rsid w:val="008E742E"/>
    <w:rsid w:val="008F009E"/>
    <w:rsid w:val="008F05D8"/>
    <w:rsid w:val="008F06EB"/>
    <w:rsid w:val="008F088C"/>
    <w:rsid w:val="008F0C31"/>
    <w:rsid w:val="008F1ACD"/>
    <w:rsid w:val="008F261D"/>
    <w:rsid w:val="008F2E34"/>
    <w:rsid w:val="008F2E41"/>
    <w:rsid w:val="008F33AA"/>
    <w:rsid w:val="008F38FD"/>
    <w:rsid w:val="008F455D"/>
    <w:rsid w:val="008F4EFB"/>
    <w:rsid w:val="008F532F"/>
    <w:rsid w:val="008F5EA6"/>
    <w:rsid w:val="008F6101"/>
    <w:rsid w:val="008F6897"/>
    <w:rsid w:val="009005C5"/>
    <w:rsid w:val="009005EE"/>
    <w:rsid w:val="00900663"/>
    <w:rsid w:val="0090320D"/>
    <w:rsid w:val="00903D25"/>
    <w:rsid w:val="00903EC0"/>
    <w:rsid w:val="009042F2"/>
    <w:rsid w:val="00904CAB"/>
    <w:rsid w:val="0090542C"/>
    <w:rsid w:val="00905468"/>
    <w:rsid w:val="00905AB5"/>
    <w:rsid w:val="00905C40"/>
    <w:rsid w:val="0090617D"/>
    <w:rsid w:val="00906591"/>
    <w:rsid w:val="00906EB7"/>
    <w:rsid w:val="0090797F"/>
    <w:rsid w:val="00907CFC"/>
    <w:rsid w:val="00910802"/>
    <w:rsid w:val="00910BAF"/>
    <w:rsid w:val="00911040"/>
    <w:rsid w:val="00912095"/>
    <w:rsid w:val="00912569"/>
    <w:rsid w:val="00912B68"/>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677AF"/>
    <w:rsid w:val="00970040"/>
    <w:rsid w:val="00970BDC"/>
    <w:rsid w:val="00970CE1"/>
    <w:rsid w:val="00971090"/>
    <w:rsid w:val="00971980"/>
    <w:rsid w:val="00971DBA"/>
    <w:rsid w:val="00971F5E"/>
    <w:rsid w:val="00972636"/>
    <w:rsid w:val="00973219"/>
    <w:rsid w:val="00973475"/>
    <w:rsid w:val="0097464C"/>
    <w:rsid w:val="00974B5A"/>
    <w:rsid w:val="00975224"/>
    <w:rsid w:val="009752F3"/>
    <w:rsid w:val="009756A6"/>
    <w:rsid w:val="00975898"/>
    <w:rsid w:val="00975FB6"/>
    <w:rsid w:val="009769C3"/>
    <w:rsid w:val="00976DAF"/>
    <w:rsid w:val="009771CE"/>
    <w:rsid w:val="00977569"/>
    <w:rsid w:val="009777A0"/>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DA6"/>
    <w:rsid w:val="00991607"/>
    <w:rsid w:val="0099291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7262"/>
    <w:rsid w:val="009B73DC"/>
    <w:rsid w:val="009C04FC"/>
    <w:rsid w:val="009C0B50"/>
    <w:rsid w:val="009C20D2"/>
    <w:rsid w:val="009C22CD"/>
    <w:rsid w:val="009C266C"/>
    <w:rsid w:val="009C2D78"/>
    <w:rsid w:val="009C2E58"/>
    <w:rsid w:val="009C35FC"/>
    <w:rsid w:val="009C3935"/>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7216"/>
    <w:rsid w:val="009F7497"/>
    <w:rsid w:val="009F795D"/>
    <w:rsid w:val="00A00224"/>
    <w:rsid w:val="00A00386"/>
    <w:rsid w:val="00A00DD6"/>
    <w:rsid w:val="00A00E73"/>
    <w:rsid w:val="00A027AF"/>
    <w:rsid w:val="00A02815"/>
    <w:rsid w:val="00A0365B"/>
    <w:rsid w:val="00A038E7"/>
    <w:rsid w:val="00A04AB4"/>
    <w:rsid w:val="00A05781"/>
    <w:rsid w:val="00A061EC"/>
    <w:rsid w:val="00A0685D"/>
    <w:rsid w:val="00A0728D"/>
    <w:rsid w:val="00A07360"/>
    <w:rsid w:val="00A10664"/>
    <w:rsid w:val="00A10771"/>
    <w:rsid w:val="00A10D63"/>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E5C"/>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5F2"/>
    <w:rsid w:val="00A7519E"/>
    <w:rsid w:val="00A764F1"/>
    <w:rsid w:val="00A803CF"/>
    <w:rsid w:val="00A811E8"/>
    <w:rsid w:val="00A8176A"/>
    <w:rsid w:val="00A81C4E"/>
    <w:rsid w:val="00A81C69"/>
    <w:rsid w:val="00A81FF7"/>
    <w:rsid w:val="00A828C9"/>
    <w:rsid w:val="00A82CA9"/>
    <w:rsid w:val="00A82F3F"/>
    <w:rsid w:val="00A82F65"/>
    <w:rsid w:val="00A83401"/>
    <w:rsid w:val="00A834BF"/>
    <w:rsid w:val="00A84FA3"/>
    <w:rsid w:val="00A86750"/>
    <w:rsid w:val="00A87954"/>
    <w:rsid w:val="00A903C8"/>
    <w:rsid w:val="00A91634"/>
    <w:rsid w:val="00A93EAF"/>
    <w:rsid w:val="00A9407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2D6D"/>
    <w:rsid w:val="00AA3476"/>
    <w:rsid w:val="00AA397D"/>
    <w:rsid w:val="00AA490F"/>
    <w:rsid w:val="00AA4CA3"/>
    <w:rsid w:val="00AA4DBE"/>
    <w:rsid w:val="00AA4EE8"/>
    <w:rsid w:val="00AA5315"/>
    <w:rsid w:val="00AA539D"/>
    <w:rsid w:val="00AA5550"/>
    <w:rsid w:val="00AA5603"/>
    <w:rsid w:val="00AA6FAB"/>
    <w:rsid w:val="00AB19DD"/>
    <w:rsid w:val="00AB1AAE"/>
    <w:rsid w:val="00AB1EE5"/>
    <w:rsid w:val="00AB21F9"/>
    <w:rsid w:val="00AB3909"/>
    <w:rsid w:val="00AB393C"/>
    <w:rsid w:val="00AB3BBE"/>
    <w:rsid w:val="00AB4143"/>
    <w:rsid w:val="00AB488E"/>
    <w:rsid w:val="00AB4A58"/>
    <w:rsid w:val="00AB617A"/>
    <w:rsid w:val="00AB6943"/>
    <w:rsid w:val="00AC143B"/>
    <w:rsid w:val="00AC1807"/>
    <w:rsid w:val="00AC1C53"/>
    <w:rsid w:val="00AC1D9E"/>
    <w:rsid w:val="00AC1DA9"/>
    <w:rsid w:val="00AC22D8"/>
    <w:rsid w:val="00AC243C"/>
    <w:rsid w:val="00AC3C05"/>
    <w:rsid w:val="00AC540F"/>
    <w:rsid w:val="00AC5532"/>
    <w:rsid w:val="00AC58B4"/>
    <w:rsid w:val="00AC5BDB"/>
    <w:rsid w:val="00AC6C3A"/>
    <w:rsid w:val="00AC7012"/>
    <w:rsid w:val="00AC71CD"/>
    <w:rsid w:val="00AC7471"/>
    <w:rsid w:val="00AC7E61"/>
    <w:rsid w:val="00AD032F"/>
    <w:rsid w:val="00AD18BA"/>
    <w:rsid w:val="00AD2DF4"/>
    <w:rsid w:val="00AD3125"/>
    <w:rsid w:val="00AD3602"/>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B00098"/>
    <w:rsid w:val="00B003AA"/>
    <w:rsid w:val="00B00C15"/>
    <w:rsid w:val="00B01117"/>
    <w:rsid w:val="00B01816"/>
    <w:rsid w:val="00B01C49"/>
    <w:rsid w:val="00B023E6"/>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16647"/>
    <w:rsid w:val="00B2023A"/>
    <w:rsid w:val="00B2068B"/>
    <w:rsid w:val="00B20AC8"/>
    <w:rsid w:val="00B20C4A"/>
    <w:rsid w:val="00B2152F"/>
    <w:rsid w:val="00B21ECA"/>
    <w:rsid w:val="00B2257C"/>
    <w:rsid w:val="00B2267D"/>
    <w:rsid w:val="00B22E28"/>
    <w:rsid w:val="00B23059"/>
    <w:rsid w:val="00B236A8"/>
    <w:rsid w:val="00B23BFE"/>
    <w:rsid w:val="00B2595B"/>
    <w:rsid w:val="00B25B31"/>
    <w:rsid w:val="00B25D53"/>
    <w:rsid w:val="00B25F49"/>
    <w:rsid w:val="00B274E7"/>
    <w:rsid w:val="00B27515"/>
    <w:rsid w:val="00B276BA"/>
    <w:rsid w:val="00B27991"/>
    <w:rsid w:val="00B27D77"/>
    <w:rsid w:val="00B30109"/>
    <w:rsid w:val="00B30B73"/>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0B8"/>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6138"/>
    <w:rsid w:val="00B57C8E"/>
    <w:rsid w:val="00B600BC"/>
    <w:rsid w:val="00B6022D"/>
    <w:rsid w:val="00B61C7E"/>
    <w:rsid w:val="00B61F6F"/>
    <w:rsid w:val="00B62B5E"/>
    <w:rsid w:val="00B63729"/>
    <w:rsid w:val="00B63934"/>
    <w:rsid w:val="00B6450F"/>
    <w:rsid w:val="00B64F9D"/>
    <w:rsid w:val="00B65AC5"/>
    <w:rsid w:val="00B66188"/>
    <w:rsid w:val="00B66766"/>
    <w:rsid w:val="00B66EC0"/>
    <w:rsid w:val="00B712A1"/>
    <w:rsid w:val="00B72124"/>
    <w:rsid w:val="00B72140"/>
    <w:rsid w:val="00B7441F"/>
    <w:rsid w:val="00B745E0"/>
    <w:rsid w:val="00B755FD"/>
    <w:rsid w:val="00B7658D"/>
    <w:rsid w:val="00B76F26"/>
    <w:rsid w:val="00B778AA"/>
    <w:rsid w:val="00B806A3"/>
    <w:rsid w:val="00B81794"/>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09C"/>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E9B"/>
    <w:rsid w:val="00BD33E3"/>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E7249"/>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205BF"/>
    <w:rsid w:val="00C205E5"/>
    <w:rsid w:val="00C20D53"/>
    <w:rsid w:val="00C21180"/>
    <w:rsid w:val="00C2185A"/>
    <w:rsid w:val="00C221C5"/>
    <w:rsid w:val="00C22258"/>
    <w:rsid w:val="00C226F3"/>
    <w:rsid w:val="00C23E40"/>
    <w:rsid w:val="00C24DDB"/>
    <w:rsid w:val="00C260C6"/>
    <w:rsid w:val="00C26101"/>
    <w:rsid w:val="00C27295"/>
    <w:rsid w:val="00C27668"/>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41D2"/>
    <w:rsid w:val="00C549FE"/>
    <w:rsid w:val="00C55AB5"/>
    <w:rsid w:val="00C56370"/>
    <w:rsid w:val="00C571F6"/>
    <w:rsid w:val="00C5751B"/>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4772"/>
    <w:rsid w:val="00C747CA"/>
    <w:rsid w:val="00C74B29"/>
    <w:rsid w:val="00C75625"/>
    <w:rsid w:val="00C757C6"/>
    <w:rsid w:val="00C75A09"/>
    <w:rsid w:val="00C75B10"/>
    <w:rsid w:val="00C762BF"/>
    <w:rsid w:val="00C76A00"/>
    <w:rsid w:val="00C81037"/>
    <w:rsid w:val="00C82D0D"/>
    <w:rsid w:val="00C83224"/>
    <w:rsid w:val="00C83527"/>
    <w:rsid w:val="00C843D8"/>
    <w:rsid w:val="00C85ED1"/>
    <w:rsid w:val="00C86592"/>
    <w:rsid w:val="00C86F09"/>
    <w:rsid w:val="00C87527"/>
    <w:rsid w:val="00C8782D"/>
    <w:rsid w:val="00C908F3"/>
    <w:rsid w:val="00C90A9A"/>
    <w:rsid w:val="00C90BBD"/>
    <w:rsid w:val="00C90EDB"/>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3DBF"/>
    <w:rsid w:val="00CE45CE"/>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44C6"/>
    <w:rsid w:val="00D25FDF"/>
    <w:rsid w:val="00D260CD"/>
    <w:rsid w:val="00D26312"/>
    <w:rsid w:val="00D26419"/>
    <w:rsid w:val="00D273DE"/>
    <w:rsid w:val="00D27B60"/>
    <w:rsid w:val="00D30C15"/>
    <w:rsid w:val="00D31226"/>
    <w:rsid w:val="00D31FEA"/>
    <w:rsid w:val="00D3247B"/>
    <w:rsid w:val="00D3265C"/>
    <w:rsid w:val="00D32F25"/>
    <w:rsid w:val="00D33802"/>
    <w:rsid w:val="00D342C8"/>
    <w:rsid w:val="00D34525"/>
    <w:rsid w:val="00D34B7F"/>
    <w:rsid w:val="00D34CC4"/>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3F4A"/>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23BE"/>
    <w:rsid w:val="00D93592"/>
    <w:rsid w:val="00D93A6E"/>
    <w:rsid w:val="00D93BE9"/>
    <w:rsid w:val="00D9422C"/>
    <w:rsid w:val="00D9497B"/>
    <w:rsid w:val="00D95116"/>
    <w:rsid w:val="00D95FC5"/>
    <w:rsid w:val="00D9773F"/>
    <w:rsid w:val="00D97DF7"/>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856"/>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118"/>
    <w:rsid w:val="00E12206"/>
    <w:rsid w:val="00E12E73"/>
    <w:rsid w:val="00E13333"/>
    <w:rsid w:val="00E13CE9"/>
    <w:rsid w:val="00E14ACF"/>
    <w:rsid w:val="00E1538E"/>
    <w:rsid w:val="00E1543D"/>
    <w:rsid w:val="00E154A8"/>
    <w:rsid w:val="00E15E63"/>
    <w:rsid w:val="00E15EA2"/>
    <w:rsid w:val="00E1689F"/>
    <w:rsid w:val="00E16CAC"/>
    <w:rsid w:val="00E17789"/>
    <w:rsid w:val="00E17D20"/>
    <w:rsid w:val="00E2017B"/>
    <w:rsid w:val="00E201A1"/>
    <w:rsid w:val="00E201F2"/>
    <w:rsid w:val="00E23AD6"/>
    <w:rsid w:val="00E23B63"/>
    <w:rsid w:val="00E246DB"/>
    <w:rsid w:val="00E25241"/>
    <w:rsid w:val="00E26164"/>
    <w:rsid w:val="00E2797A"/>
    <w:rsid w:val="00E30460"/>
    <w:rsid w:val="00E31E1A"/>
    <w:rsid w:val="00E31F40"/>
    <w:rsid w:val="00E33CB9"/>
    <w:rsid w:val="00E343BD"/>
    <w:rsid w:val="00E35A26"/>
    <w:rsid w:val="00E36B2F"/>
    <w:rsid w:val="00E36F7B"/>
    <w:rsid w:val="00E37192"/>
    <w:rsid w:val="00E377D8"/>
    <w:rsid w:val="00E408DB"/>
    <w:rsid w:val="00E40900"/>
    <w:rsid w:val="00E423DD"/>
    <w:rsid w:val="00E4357B"/>
    <w:rsid w:val="00E43707"/>
    <w:rsid w:val="00E44342"/>
    <w:rsid w:val="00E4441F"/>
    <w:rsid w:val="00E44674"/>
    <w:rsid w:val="00E44EE4"/>
    <w:rsid w:val="00E4542B"/>
    <w:rsid w:val="00E50C8F"/>
    <w:rsid w:val="00E50CF3"/>
    <w:rsid w:val="00E517C8"/>
    <w:rsid w:val="00E51893"/>
    <w:rsid w:val="00E53C5E"/>
    <w:rsid w:val="00E5448C"/>
    <w:rsid w:val="00E5470D"/>
    <w:rsid w:val="00E56FFF"/>
    <w:rsid w:val="00E57F7A"/>
    <w:rsid w:val="00E602B8"/>
    <w:rsid w:val="00E60645"/>
    <w:rsid w:val="00E60952"/>
    <w:rsid w:val="00E60B7A"/>
    <w:rsid w:val="00E614EE"/>
    <w:rsid w:val="00E62779"/>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909C5"/>
    <w:rsid w:val="00E90A7C"/>
    <w:rsid w:val="00E90CBC"/>
    <w:rsid w:val="00E912E6"/>
    <w:rsid w:val="00E916B8"/>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69D"/>
    <w:rsid w:val="00EB0083"/>
    <w:rsid w:val="00EB073A"/>
    <w:rsid w:val="00EB1B3C"/>
    <w:rsid w:val="00EB21F4"/>
    <w:rsid w:val="00EB33EC"/>
    <w:rsid w:val="00EB3778"/>
    <w:rsid w:val="00EB3C09"/>
    <w:rsid w:val="00EB420B"/>
    <w:rsid w:val="00EB43BD"/>
    <w:rsid w:val="00EB5C05"/>
    <w:rsid w:val="00EB668F"/>
    <w:rsid w:val="00EB6EEC"/>
    <w:rsid w:val="00EB793A"/>
    <w:rsid w:val="00EC0C2B"/>
    <w:rsid w:val="00EC1777"/>
    <w:rsid w:val="00EC2383"/>
    <w:rsid w:val="00EC3E19"/>
    <w:rsid w:val="00EC4B14"/>
    <w:rsid w:val="00EC5024"/>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6ED1"/>
    <w:rsid w:val="00ED7522"/>
    <w:rsid w:val="00EE076E"/>
    <w:rsid w:val="00EE07FF"/>
    <w:rsid w:val="00EE0950"/>
    <w:rsid w:val="00EE1502"/>
    <w:rsid w:val="00EE1F78"/>
    <w:rsid w:val="00EE249C"/>
    <w:rsid w:val="00EE38E7"/>
    <w:rsid w:val="00EE4574"/>
    <w:rsid w:val="00EE5013"/>
    <w:rsid w:val="00EE5452"/>
    <w:rsid w:val="00EE6981"/>
    <w:rsid w:val="00EE6B63"/>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77E3"/>
    <w:rsid w:val="00F17EA6"/>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5965"/>
    <w:rsid w:val="00F46108"/>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79B7"/>
    <w:rsid w:val="00F97E39"/>
    <w:rsid w:val="00FA07B0"/>
    <w:rsid w:val="00FA0AAE"/>
    <w:rsid w:val="00FA1345"/>
    <w:rsid w:val="00FA263A"/>
    <w:rsid w:val="00FA2BF8"/>
    <w:rsid w:val="00FA4115"/>
    <w:rsid w:val="00FA4485"/>
    <w:rsid w:val="00FA496F"/>
    <w:rsid w:val="00FA49F2"/>
    <w:rsid w:val="00FA4D47"/>
    <w:rsid w:val="00FA525D"/>
    <w:rsid w:val="00FA60B6"/>
    <w:rsid w:val="00FA62E0"/>
    <w:rsid w:val="00FA636E"/>
    <w:rsid w:val="00FA7281"/>
    <w:rsid w:val="00FB029F"/>
    <w:rsid w:val="00FB06B4"/>
    <w:rsid w:val="00FB1A91"/>
    <w:rsid w:val="00FB241F"/>
    <w:rsid w:val="00FB3A04"/>
    <w:rsid w:val="00FB3A69"/>
    <w:rsid w:val="00FB4096"/>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345C7C"/>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E4910-0E2F-487C-B77D-EBC9844AC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219</TotalTime>
  <Pages>2</Pages>
  <Words>492</Words>
  <Characters>2810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Prashanth Akula</cp:lastModifiedBy>
  <cp:revision>29</cp:revision>
  <cp:lastPrinted>2016-03-25T21:53:00Z</cp:lastPrinted>
  <dcterms:created xsi:type="dcterms:W3CDTF">2017-08-03T16:53:00Z</dcterms:created>
  <dcterms:modified xsi:type="dcterms:W3CDTF">2017-08-11T01:59:00Z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000000002BDB402D434047478BAF499F64A86A800700B902CE055789BA45BD7FB74DDC42D39400000001D6E2000042D7DA920E27A84CA994A005397995340001C286A9960000</vt:lpwstr>
  </property>
  <property fmtid="{D5CDD505-2E9C-101B-9397-08002B2CF9AE}" pid="8"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9" name="_EmailStoreID1">
    <vt:lpwstr>97069656E74732F636E3D70616B756C6100E94632F4420000000200000010000000700061006B0075006C00610040007100740069002E007100750061006C0063006F006D006D002E0063006F006D0000000000</vt:lpwstr>
  </property>
  <property fmtid="{D5CDD505-2E9C-101B-9397-08002B2CF9AE}" pid="10" name="_EmailStoreID2">
    <vt:lpwstr>006C0063006F006D006D002E0063006F006D0000000000</vt:lpwstr>
  </property>
  <property fmtid="{D5CDD505-2E9C-101B-9397-08002B2CF9AE}" pid="11" name="_AdHocReviewCycleID">
    <vt:i4>-331536332</vt:i4>
  </property>
  <property fmtid="{D5CDD505-2E9C-101B-9397-08002B2CF9AE}" pid="12" name="_EmailSubject">
    <vt:lpwstr>offlist - RE: INTERNAL-FW: [draft] RAN2 Tx antenna selection</vt:lpwstr>
  </property>
  <property fmtid="{D5CDD505-2E9C-101B-9397-08002B2CF9AE}" pid="13" name="_AuthorEmail">
    <vt:lpwstr>albertor@qti.qualcomm.com</vt:lpwstr>
  </property>
  <property fmtid="{D5CDD505-2E9C-101B-9397-08002B2CF9AE}" pid="14" name="_AuthorEmailDisplayName">
    <vt:lpwstr>Alberto Rico Alvarino</vt:lpwstr>
  </property>
  <property fmtid="{D5CDD505-2E9C-101B-9397-08002B2CF9AE}" pid="15" name="_ReviewingToolsShownOnce">
    <vt:lpwstr/>
  </property>
</Properties>
</file>